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C8" w:rsidRPr="00FA00C8" w:rsidRDefault="00FA00C8" w:rsidP="00FA00C8">
      <w:pPr>
        <w:spacing w:before="100" w:beforeAutospacing="1" w:after="100" w:afterAutospacing="1" w:line="240" w:lineRule="auto"/>
        <w:rPr>
          <w:rFonts w:eastAsia="Times New Roman" w:cstheme="minorHAnsi"/>
          <w:sz w:val="36"/>
          <w:szCs w:val="36"/>
          <w:lang w:eastAsia="en-IN"/>
        </w:rPr>
      </w:pPr>
      <w:r w:rsidRPr="00FA00C8">
        <w:rPr>
          <w:rFonts w:eastAsia="Times New Roman" w:cstheme="minorHAnsi"/>
          <w:b/>
          <w:bCs/>
          <w:sz w:val="36"/>
          <w:szCs w:val="36"/>
          <w:lang w:eastAsia="en-IN"/>
        </w:rPr>
        <w:t>Heat Exchangers Design and Mechanical Summary Report</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Cs/>
          <w:sz w:val="24"/>
          <w:szCs w:val="24"/>
          <w:lang w:eastAsia="en-IN"/>
        </w:rPr>
        <w:t>Client:</w:t>
      </w:r>
      <w:r w:rsidRPr="00FA00C8">
        <w:rPr>
          <w:rFonts w:eastAsia="Times New Roman" w:cstheme="minorHAnsi"/>
          <w:sz w:val="24"/>
          <w:szCs w:val="24"/>
          <w:lang w:eastAsia="en-IN"/>
        </w:rPr>
        <w:t xml:space="preserve"> Aarti Industries Limited</w:t>
      </w:r>
      <w:r w:rsidRPr="00FA00C8">
        <w:rPr>
          <w:rFonts w:eastAsia="Times New Roman" w:cstheme="minorHAnsi"/>
          <w:sz w:val="24"/>
          <w:szCs w:val="24"/>
          <w:lang w:eastAsia="en-IN"/>
        </w:rPr>
        <w:br/>
      </w:r>
      <w:r w:rsidRPr="00FA00C8">
        <w:rPr>
          <w:rFonts w:eastAsia="Times New Roman" w:cstheme="minorHAnsi"/>
          <w:bCs/>
          <w:sz w:val="24"/>
          <w:szCs w:val="24"/>
          <w:lang w:eastAsia="en-IN"/>
        </w:rPr>
        <w:t>Consultancy Firm:</w:t>
      </w:r>
      <w:r w:rsidRPr="00FA00C8">
        <w:rPr>
          <w:rFonts w:eastAsia="Times New Roman" w:cstheme="minorHAnsi"/>
          <w:sz w:val="24"/>
          <w:szCs w:val="24"/>
          <w:lang w:eastAsia="en-IN"/>
        </w:rPr>
        <w:t xml:space="preserve"> </w:t>
      </w:r>
      <w:proofErr w:type="spellStart"/>
      <w:r w:rsidRPr="00FA00C8">
        <w:rPr>
          <w:rFonts w:eastAsia="Times New Roman" w:cstheme="minorHAnsi"/>
          <w:sz w:val="24"/>
          <w:szCs w:val="24"/>
          <w:lang w:eastAsia="en-IN"/>
        </w:rPr>
        <w:t>Chemklub</w:t>
      </w:r>
      <w:proofErr w:type="spellEnd"/>
      <w:r w:rsidRPr="00FA00C8">
        <w:rPr>
          <w:rFonts w:eastAsia="Times New Roman" w:cstheme="minorHAnsi"/>
          <w:sz w:val="24"/>
          <w:szCs w:val="24"/>
          <w:lang w:eastAsia="en-IN"/>
        </w:rPr>
        <w:t xml:space="preserve"> India</w:t>
      </w:r>
      <w:r w:rsidRPr="00FA00C8">
        <w:rPr>
          <w:rFonts w:eastAsia="Times New Roman" w:cstheme="minorHAnsi"/>
          <w:sz w:val="24"/>
          <w:szCs w:val="24"/>
          <w:lang w:eastAsia="en-IN"/>
        </w:rPr>
        <w:br/>
      </w:r>
      <w:r w:rsidRPr="00FA00C8">
        <w:rPr>
          <w:rFonts w:eastAsia="Times New Roman" w:cstheme="minorHAnsi"/>
          <w:bCs/>
          <w:sz w:val="24"/>
          <w:szCs w:val="24"/>
          <w:lang w:eastAsia="en-IN"/>
        </w:rPr>
        <w:t>Project Code:</w:t>
      </w:r>
      <w:r w:rsidRPr="00FA00C8">
        <w:rPr>
          <w:rFonts w:eastAsia="Times New Roman" w:cstheme="minorHAnsi"/>
          <w:sz w:val="24"/>
          <w:szCs w:val="24"/>
          <w:lang w:eastAsia="en-IN"/>
        </w:rPr>
        <w:t xml:space="preserve"> SES-HE2024 (HE-007 and HE-008</w:t>
      </w:r>
      <w:proofErr w:type="gramStart"/>
      <w:r w:rsidRPr="00FA00C8">
        <w:rPr>
          <w:rFonts w:eastAsia="Times New Roman" w:cstheme="minorHAnsi"/>
          <w:sz w:val="24"/>
          <w:szCs w:val="24"/>
          <w:lang w:eastAsia="en-IN"/>
        </w:rPr>
        <w:t>)</w:t>
      </w:r>
      <w:proofErr w:type="gramEnd"/>
      <w:r w:rsidRPr="00FA00C8">
        <w:rPr>
          <w:rFonts w:eastAsia="Times New Roman" w:cstheme="minorHAnsi"/>
          <w:sz w:val="24"/>
          <w:szCs w:val="24"/>
          <w:lang w:eastAsia="en-IN"/>
        </w:rPr>
        <w:br/>
      </w:r>
      <w:r w:rsidRPr="00FA00C8">
        <w:rPr>
          <w:rFonts w:eastAsia="Times New Roman" w:cstheme="minorHAnsi"/>
          <w:bCs/>
          <w:sz w:val="24"/>
          <w:szCs w:val="24"/>
          <w:lang w:eastAsia="en-IN"/>
        </w:rPr>
        <w:t>Report Date:</w:t>
      </w:r>
      <w:r w:rsidRPr="00FA00C8">
        <w:rPr>
          <w:rFonts w:eastAsia="Times New Roman" w:cstheme="minorHAnsi"/>
          <w:sz w:val="24"/>
          <w:szCs w:val="24"/>
          <w:lang w:eastAsia="en-IN"/>
        </w:rPr>
        <w:t xml:space="preserve"> December 12, 2024</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25"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Table of Contents</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Given Data</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Executive Summary</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Introduction</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Methodology</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Results and Analysis</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Recommendations</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Conclusion</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References</w:t>
      </w:r>
    </w:p>
    <w:p w:rsidR="00FA00C8" w:rsidRPr="00FA00C8" w:rsidRDefault="00FA00C8" w:rsidP="00FA00C8">
      <w:pPr>
        <w:numPr>
          <w:ilvl w:val="0"/>
          <w:numId w:val="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Appendices</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26"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t>1. Given Data</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b/>
          <w:bCs/>
          <w:sz w:val="24"/>
          <w:szCs w:val="24"/>
          <w:u w:val="single"/>
          <w:lang w:eastAsia="en-IN"/>
        </w:rPr>
        <w:t>Heat Exchanger 1-HE007</w:t>
      </w:r>
      <w:r w:rsidRPr="00FA00C8">
        <w:rPr>
          <w:rFonts w:ascii="Cambria" w:eastAsia="Times New Roman" w:hAnsi="Cambria" w:cstheme="minorHAnsi"/>
          <w:sz w:val="24"/>
          <w:szCs w:val="24"/>
          <w:lang w:eastAsia="en-IN"/>
        </w:rPr>
        <w:br/>
        <w:t>Fluid Allocation:</w:t>
      </w:r>
    </w:p>
    <w:p w:rsidR="00FA00C8" w:rsidRPr="00FA00C8" w:rsidRDefault="00FA00C8" w:rsidP="00FA00C8">
      <w:pPr>
        <w:numPr>
          <w:ilvl w:val="0"/>
          <w:numId w:val="2"/>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Shell Side: Cooling water, 32°C (inlet) to 37°C (outlet).</w:t>
      </w:r>
    </w:p>
    <w:p w:rsidR="00FA00C8" w:rsidRPr="00FA00C8" w:rsidRDefault="00FA00C8" w:rsidP="00FA00C8">
      <w:pPr>
        <w:numPr>
          <w:ilvl w:val="0"/>
          <w:numId w:val="2"/>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 xml:space="preserve">Tube Side: Water </w:t>
      </w:r>
      <w:proofErr w:type="spellStart"/>
      <w:r w:rsidRPr="00FA00C8">
        <w:rPr>
          <w:rFonts w:ascii="Cambria" w:eastAsia="Times New Roman" w:hAnsi="Cambria" w:cstheme="minorHAnsi"/>
          <w:sz w:val="24"/>
          <w:szCs w:val="24"/>
          <w:lang w:eastAsia="en-IN"/>
        </w:rPr>
        <w:t>vapors</w:t>
      </w:r>
      <w:proofErr w:type="spellEnd"/>
      <w:r w:rsidRPr="00FA00C8">
        <w:rPr>
          <w:rFonts w:ascii="Cambria" w:eastAsia="Times New Roman" w:hAnsi="Cambria" w:cstheme="minorHAnsi"/>
          <w:sz w:val="24"/>
          <w:szCs w:val="24"/>
          <w:lang w:eastAsia="en-IN"/>
        </w:rPr>
        <w:t>, 115°C (inlet) to 40°C (outlet).</w:t>
      </w:r>
    </w:p>
    <w:p w:rsidR="00FA00C8" w:rsidRPr="00FA00C8" w:rsidRDefault="00FA00C8" w:rsidP="00FA00C8">
      <w:pPr>
        <w:numPr>
          <w:ilvl w:val="0"/>
          <w:numId w:val="2"/>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Heat Exchanged: 161,000 kcal/h.</w:t>
      </w:r>
    </w:p>
    <w:p w:rsidR="00FA00C8" w:rsidRPr="00FA00C8" w:rsidRDefault="00FA00C8" w:rsidP="00FA00C8">
      <w:pPr>
        <w:numPr>
          <w:ilvl w:val="0"/>
          <w:numId w:val="2"/>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Log Mean Temperature Difference (LMTD): 30.73°C.</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b/>
          <w:bCs/>
          <w:sz w:val="24"/>
          <w:szCs w:val="24"/>
          <w:u w:val="single"/>
          <w:lang w:eastAsia="en-IN"/>
        </w:rPr>
        <w:t>Heat Exchanger 1-HE008</w:t>
      </w:r>
      <w:r w:rsidRPr="00FA00C8">
        <w:rPr>
          <w:rFonts w:ascii="Cambria" w:eastAsia="Times New Roman" w:hAnsi="Cambria" w:cstheme="minorHAnsi"/>
          <w:sz w:val="24"/>
          <w:szCs w:val="24"/>
          <w:lang w:eastAsia="en-IN"/>
        </w:rPr>
        <w:br/>
        <w:t>Fluid Allocation:</w:t>
      </w:r>
    </w:p>
    <w:p w:rsidR="00FA00C8" w:rsidRPr="00FA00C8" w:rsidRDefault="00FA00C8" w:rsidP="00FA00C8">
      <w:pPr>
        <w:numPr>
          <w:ilvl w:val="0"/>
          <w:numId w:val="3"/>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Shell Side: Cooling water, 32°C (inlet) to 37°C (outlet).</w:t>
      </w:r>
    </w:p>
    <w:p w:rsidR="00FA00C8" w:rsidRPr="00FA00C8" w:rsidRDefault="00FA00C8" w:rsidP="00FA00C8">
      <w:pPr>
        <w:numPr>
          <w:ilvl w:val="0"/>
          <w:numId w:val="3"/>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 xml:space="preserve">Tube Side: Water </w:t>
      </w:r>
      <w:proofErr w:type="spellStart"/>
      <w:r w:rsidRPr="00FA00C8">
        <w:rPr>
          <w:rFonts w:ascii="Cambria" w:eastAsia="Times New Roman" w:hAnsi="Cambria" w:cstheme="minorHAnsi"/>
          <w:sz w:val="24"/>
          <w:szCs w:val="24"/>
          <w:lang w:eastAsia="en-IN"/>
        </w:rPr>
        <w:t>vapors</w:t>
      </w:r>
      <w:proofErr w:type="spellEnd"/>
      <w:r w:rsidRPr="00FA00C8">
        <w:rPr>
          <w:rFonts w:ascii="Cambria" w:eastAsia="Times New Roman" w:hAnsi="Cambria" w:cstheme="minorHAnsi"/>
          <w:sz w:val="24"/>
          <w:szCs w:val="24"/>
          <w:lang w:eastAsia="en-IN"/>
        </w:rPr>
        <w:t>, 115°C (inlet) to 40°C (outlet).</w:t>
      </w:r>
    </w:p>
    <w:p w:rsidR="00FA00C8" w:rsidRPr="00FA00C8" w:rsidRDefault="00FA00C8" w:rsidP="00FA00C8">
      <w:pPr>
        <w:numPr>
          <w:ilvl w:val="0"/>
          <w:numId w:val="3"/>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Heat Exchanged: 152,419 kcal/h.</w:t>
      </w:r>
    </w:p>
    <w:p w:rsidR="00FA00C8" w:rsidRPr="00FA00C8" w:rsidRDefault="00FA00C8" w:rsidP="00FA00C8">
      <w:pPr>
        <w:numPr>
          <w:ilvl w:val="0"/>
          <w:numId w:val="3"/>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Log Mean Temperature Difference (LMTD): 17.81°C.</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u w:val="single"/>
          <w:lang w:eastAsia="en-IN"/>
        </w:rPr>
      </w:pPr>
      <w:r w:rsidRPr="00FA00C8">
        <w:rPr>
          <w:rFonts w:ascii="Cambria" w:eastAsia="Times New Roman" w:hAnsi="Cambria" w:cstheme="minorHAnsi"/>
          <w:b/>
          <w:bCs/>
          <w:sz w:val="24"/>
          <w:szCs w:val="24"/>
          <w:u w:val="single"/>
          <w:lang w:eastAsia="en-IN"/>
        </w:rPr>
        <w:t>Design Specifications (Applicable to Both Exchangers)</w:t>
      </w:r>
    </w:p>
    <w:p w:rsidR="00FA00C8" w:rsidRPr="00FA00C8" w:rsidRDefault="00FA00C8" w:rsidP="00FA00C8">
      <w:pPr>
        <w:numPr>
          <w:ilvl w:val="0"/>
          <w:numId w:val="4"/>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Design Pressure: Shell side 6 kg/cm²g; Tube side 3 kg/cm²g.</w:t>
      </w:r>
    </w:p>
    <w:p w:rsidR="00FA00C8" w:rsidRPr="00FA00C8" w:rsidRDefault="00FA00C8" w:rsidP="00FA00C8">
      <w:pPr>
        <w:numPr>
          <w:ilvl w:val="0"/>
          <w:numId w:val="4"/>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Design Temperature: Shell side 100°C; Tube side 150°C.</w:t>
      </w:r>
    </w:p>
    <w:p w:rsidR="00FA00C8" w:rsidRPr="00FA00C8" w:rsidRDefault="00FA00C8" w:rsidP="00FA00C8">
      <w:pPr>
        <w:numPr>
          <w:ilvl w:val="0"/>
          <w:numId w:val="4"/>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Construction: Vertical, BEM configuration.</w:t>
      </w:r>
    </w:p>
    <w:p w:rsidR="00FA00C8" w:rsidRPr="00FA00C8" w:rsidRDefault="00FA00C8" w:rsidP="00FA00C8">
      <w:pPr>
        <w:numPr>
          <w:ilvl w:val="0"/>
          <w:numId w:val="4"/>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Dimensions: Shell ID 430 mm, tube length 1000 mm.</w:t>
      </w:r>
    </w:p>
    <w:p w:rsidR="00FA00C8" w:rsidRPr="00FA00C8" w:rsidRDefault="00FA00C8" w:rsidP="00FA00C8">
      <w:pPr>
        <w:numPr>
          <w:ilvl w:val="0"/>
          <w:numId w:val="4"/>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Tube Details: 250 tubes, 19.05 mm OD, 23.81 mm pitch.</w:t>
      </w:r>
    </w:p>
    <w:p w:rsidR="00FA00C8" w:rsidRPr="00FA00C8" w:rsidRDefault="00FA00C8" w:rsidP="00FA00C8">
      <w:pPr>
        <w:numPr>
          <w:ilvl w:val="0"/>
          <w:numId w:val="4"/>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lastRenderedPageBreak/>
        <w:t>Material: SS 316 for shell, tubes, and baffles.</w:t>
      </w:r>
    </w:p>
    <w:p w:rsidR="00FA00C8" w:rsidRPr="00FA00C8" w:rsidRDefault="00FA00C8" w:rsidP="00FA00C8">
      <w:pPr>
        <w:spacing w:after="0" w:line="240" w:lineRule="auto"/>
        <w:rPr>
          <w:rFonts w:eastAsia="Times New Roman" w:cstheme="minorHAnsi"/>
          <w:sz w:val="24"/>
          <w:szCs w:val="24"/>
          <w:lang w:eastAsia="en-IN"/>
        </w:rPr>
      </w:pPr>
      <w:r w:rsidRPr="00FA00C8">
        <w:rPr>
          <w:rFonts w:ascii="Cambria" w:eastAsia="Times New Roman" w:hAnsi="Cambria" w:cstheme="minorHAnsi"/>
          <w:sz w:val="24"/>
          <w:szCs w:val="24"/>
          <w:lang w:eastAsia="en-IN"/>
        </w:rPr>
        <w:pict>
          <v:rect id="_x0000_i1027"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t>2. Executive Summary</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lang w:eastAsia="en-IN"/>
        </w:rPr>
      </w:pPr>
      <w:proofErr w:type="spellStart"/>
      <w:r w:rsidRPr="00FA00C8">
        <w:rPr>
          <w:rFonts w:ascii="Cambria" w:eastAsia="Times New Roman" w:hAnsi="Cambria" w:cstheme="minorHAnsi"/>
          <w:sz w:val="24"/>
          <w:szCs w:val="24"/>
          <w:lang w:eastAsia="en-IN"/>
        </w:rPr>
        <w:t>Chemklub</w:t>
      </w:r>
      <w:proofErr w:type="spellEnd"/>
      <w:r w:rsidRPr="00FA00C8">
        <w:rPr>
          <w:rFonts w:ascii="Cambria" w:eastAsia="Times New Roman" w:hAnsi="Cambria" w:cstheme="minorHAnsi"/>
          <w:sz w:val="24"/>
          <w:szCs w:val="24"/>
          <w:lang w:eastAsia="en-IN"/>
        </w:rPr>
        <w:t xml:space="preserve"> India collaborated with Aarti Industries Limited to evaluate and optimize two heat exchangers (1-HE007 and 1-HE008) designed for ONA dehydration condenser service. Both exchangers comply with TEMA standards and ASME Code Section VIII, Division 1, demonstrating robust thermal and mechanical performance. Key findings highlight efficient heat transfer capabilities and adherence to safety margins. Recommendations are provided for enhanced monitoring and potential future upgrades to sustain efficiency and reliability.</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28"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t>3. Introduction</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3.1 Background</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Aarti Industries Limited specializes in chemical production requiring high-efficiency heat exchangers for critical processes like ONA dehydration. Heat exchangers 1-HE007 and 1-HE008 operate as vertical BEM-type units serving this essential function.</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3.2 Objectives</w:t>
      </w:r>
    </w:p>
    <w:p w:rsidR="00FA00C8" w:rsidRPr="00FA00C8" w:rsidRDefault="00FA00C8" w:rsidP="00FA00C8">
      <w:pPr>
        <w:numPr>
          <w:ilvl w:val="0"/>
          <w:numId w:val="5"/>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Validate the thermal and mechanical design of both exchangers.</w:t>
      </w:r>
    </w:p>
    <w:p w:rsidR="00FA00C8" w:rsidRPr="00FA00C8" w:rsidRDefault="00FA00C8" w:rsidP="00FA00C8">
      <w:pPr>
        <w:numPr>
          <w:ilvl w:val="0"/>
          <w:numId w:val="5"/>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Ensure compliance with TEMA and ASME standards.</w:t>
      </w:r>
    </w:p>
    <w:p w:rsidR="00FA00C8" w:rsidRPr="00FA00C8" w:rsidRDefault="00FA00C8" w:rsidP="00FA00C8">
      <w:pPr>
        <w:numPr>
          <w:ilvl w:val="0"/>
          <w:numId w:val="5"/>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Provide actionable recommendations for performance enhancement.</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3.3 Scope</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This report encompasses the design validation, thermal and mechanical analysis, and operational optimization recommendations for both heat exchangers.</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29"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t>4. Methodology</w:t>
      </w:r>
    </w:p>
    <w:p w:rsidR="00FA00C8" w:rsidRPr="00FA00C8" w:rsidRDefault="00FA00C8" w:rsidP="00FA00C8">
      <w:pPr>
        <w:numPr>
          <w:ilvl w:val="0"/>
          <w:numId w:val="6"/>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Data Collection:</w:t>
      </w:r>
      <w:r w:rsidRPr="00FA00C8">
        <w:rPr>
          <w:rFonts w:ascii="Cambria" w:eastAsia="Times New Roman" w:hAnsi="Cambria" w:cstheme="minorHAnsi"/>
          <w:sz w:val="24"/>
          <w:szCs w:val="24"/>
          <w:lang w:eastAsia="en-IN"/>
        </w:rPr>
        <w:t xml:space="preserve"> Comprehensive review of provided process data sheets and mechanical summary documents.</w:t>
      </w:r>
    </w:p>
    <w:p w:rsidR="00FA00C8" w:rsidRPr="00FA00C8" w:rsidRDefault="00FA00C8" w:rsidP="00FA00C8">
      <w:pPr>
        <w:numPr>
          <w:ilvl w:val="0"/>
          <w:numId w:val="6"/>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Thermal and Mechanical Analysis:</w:t>
      </w:r>
      <w:r w:rsidRPr="00FA00C8">
        <w:rPr>
          <w:rFonts w:ascii="Cambria" w:eastAsia="Times New Roman" w:hAnsi="Cambria" w:cstheme="minorHAnsi"/>
          <w:sz w:val="24"/>
          <w:szCs w:val="24"/>
          <w:lang w:eastAsia="en-IN"/>
        </w:rPr>
        <w:t xml:space="preserve"> Conducted using Aspen Exchanger Design and Rating (EDR) software.</w:t>
      </w:r>
    </w:p>
    <w:p w:rsidR="00FA00C8" w:rsidRPr="00FA00C8" w:rsidRDefault="00FA00C8" w:rsidP="00FA00C8">
      <w:pPr>
        <w:numPr>
          <w:ilvl w:val="0"/>
          <w:numId w:val="6"/>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Compliance Review:</w:t>
      </w:r>
      <w:r w:rsidRPr="00FA00C8">
        <w:rPr>
          <w:rFonts w:ascii="Cambria" w:eastAsia="Times New Roman" w:hAnsi="Cambria" w:cstheme="minorHAnsi"/>
          <w:sz w:val="24"/>
          <w:szCs w:val="24"/>
          <w:lang w:eastAsia="en-IN"/>
        </w:rPr>
        <w:t xml:space="preserve"> Verified against TEMA standards (Class B) and ASME Code Section VIII Division 1.</w:t>
      </w:r>
    </w:p>
    <w:p w:rsidR="00FA00C8" w:rsidRPr="00FA00C8" w:rsidRDefault="00FA00C8" w:rsidP="00FA00C8">
      <w:pPr>
        <w:numPr>
          <w:ilvl w:val="0"/>
          <w:numId w:val="6"/>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Reporting:</w:t>
      </w:r>
      <w:r w:rsidRPr="00FA00C8">
        <w:rPr>
          <w:rFonts w:ascii="Cambria" w:eastAsia="Times New Roman" w:hAnsi="Cambria" w:cstheme="minorHAnsi"/>
          <w:sz w:val="24"/>
          <w:szCs w:val="24"/>
          <w:lang w:eastAsia="en-IN"/>
        </w:rPr>
        <w:t xml:space="preserve"> Consolidation of findings and recommendations for future optimization.</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30"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lastRenderedPageBreak/>
        <w:t>5. Results and Analysis</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5.1 Design Specifications</w:t>
      </w:r>
    </w:p>
    <w:p w:rsidR="00FA00C8" w:rsidRPr="00FA00C8" w:rsidRDefault="00FA00C8" w:rsidP="00FA00C8">
      <w:pPr>
        <w:numPr>
          <w:ilvl w:val="0"/>
          <w:numId w:val="7"/>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Configuration: BEM, vertical.</w:t>
      </w:r>
    </w:p>
    <w:p w:rsidR="00FA00C8" w:rsidRPr="00FA00C8" w:rsidRDefault="00FA00C8" w:rsidP="00FA00C8">
      <w:pPr>
        <w:numPr>
          <w:ilvl w:val="0"/>
          <w:numId w:val="7"/>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Shell Dimensions: ID 430 mm, OD 436.35 mm.</w:t>
      </w:r>
    </w:p>
    <w:p w:rsidR="00FA00C8" w:rsidRPr="00FA00C8" w:rsidRDefault="00FA00C8" w:rsidP="00FA00C8">
      <w:pPr>
        <w:numPr>
          <w:ilvl w:val="0"/>
          <w:numId w:val="7"/>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Tube Details: 250 tubes, 19.05 mm OD, 1000 mm length, 23.81 mm pitch.</w:t>
      </w:r>
    </w:p>
    <w:p w:rsidR="00FA00C8" w:rsidRPr="00FA00C8" w:rsidRDefault="00FA00C8" w:rsidP="00FA00C8">
      <w:pPr>
        <w:numPr>
          <w:ilvl w:val="0"/>
          <w:numId w:val="7"/>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Material: SS 316 for all components.</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5.2 Thermal Performance</w:t>
      </w:r>
    </w:p>
    <w:p w:rsidR="00FA00C8" w:rsidRPr="00FA00C8" w:rsidRDefault="00FA00C8" w:rsidP="00FA00C8">
      <w:pPr>
        <w:numPr>
          <w:ilvl w:val="0"/>
          <w:numId w:val="8"/>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Heat Exchanged: 1-HE007: 161,000 kcal/h; 1-HE008: 152,419 kcal/h.</w:t>
      </w:r>
    </w:p>
    <w:p w:rsidR="00FA00C8" w:rsidRPr="00FA00C8" w:rsidRDefault="00FA00C8" w:rsidP="00FA00C8">
      <w:pPr>
        <w:numPr>
          <w:ilvl w:val="0"/>
          <w:numId w:val="8"/>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LMTD: 1-HE007: 30.73°C; 1-HE008: 17.81°C.</w:t>
      </w:r>
    </w:p>
    <w:p w:rsidR="00FA00C8" w:rsidRPr="00FA00C8" w:rsidRDefault="00FA00C8" w:rsidP="00FA00C8">
      <w:pPr>
        <w:numPr>
          <w:ilvl w:val="0"/>
          <w:numId w:val="8"/>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Pressure Drops: Shell: 0.32 kg/cm²; Tube: 0.137 kg/cm².</w:t>
      </w:r>
    </w:p>
    <w:p w:rsidR="00FA00C8" w:rsidRPr="00FA00C8" w:rsidRDefault="00FA00C8" w:rsidP="00FA00C8">
      <w:pPr>
        <w:numPr>
          <w:ilvl w:val="0"/>
          <w:numId w:val="8"/>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Fouling Resistance: Shell side: 0.00061 m²•h•°C/kcal; Tube side: 0.00013 m²•h•°C/kcal.</w:t>
      </w:r>
    </w:p>
    <w:p w:rsidR="00FA00C8" w:rsidRPr="00FA00C8" w:rsidRDefault="00FA00C8" w:rsidP="00FA00C8">
      <w:pPr>
        <w:spacing w:before="100" w:beforeAutospacing="1" w:after="100" w:afterAutospacing="1" w:line="240" w:lineRule="auto"/>
        <w:rPr>
          <w:rFonts w:eastAsia="Times New Roman" w:cstheme="minorHAnsi"/>
          <w:sz w:val="24"/>
          <w:szCs w:val="24"/>
          <w:lang w:eastAsia="en-IN"/>
        </w:rPr>
      </w:pPr>
      <w:r w:rsidRPr="00FA00C8">
        <w:rPr>
          <w:rFonts w:eastAsia="Times New Roman" w:cstheme="minorHAnsi"/>
          <w:b/>
          <w:bCs/>
          <w:sz w:val="24"/>
          <w:szCs w:val="24"/>
          <w:lang w:eastAsia="en-IN"/>
        </w:rPr>
        <w:t>5.3 Mechanical Integrity</w:t>
      </w:r>
    </w:p>
    <w:p w:rsidR="00FA00C8" w:rsidRPr="00FA00C8" w:rsidRDefault="00FA00C8" w:rsidP="00FA00C8">
      <w:pPr>
        <w:numPr>
          <w:ilvl w:val="0"/>
          <w:numId w:val="9"/>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Design Conditions: Pressure 6 kg/cm²g; Temperature 150°C.</w:t>
      </w:r>
    </w:p>
    <w:p w:rsidR="00FA00C8" w:rsidRPr="00FA00C8" w:rsidRDefault="00FA00C8" w:rsidP="00FA00C8">
      <w:pPr>
        <w:numPr>
          <w:ilvl w:val="0"/>
          <w:numId w:val="9"/>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Compliance: ASME Section VIII Division 1, TEMA Class B.</w:t>
      </w:r>
    </w:p>
    <w:p w:rsidR="00FA00C8" w:rsidRPr="00FA00C8" w:rsidRDefault="00FA00C8" w:rsidP="00FA00C8">
      <w:pPr>
        <w:numPr>
          <w:ilvl w:val="0"/>
          <w:numId w:val="9"/>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Baffle Type: Single segmental, 250 mm spacing.</w:t>
      </w:r>
    </w:p>
    <w:p w:rsidR="00FA00C8" w:rsidRPr="00FA00C8" w:rsidRDefault="00FA00C8" w:rsidP="00FA00C8">
      <w:pPr>
        <w:numPr>
          <w:ilvl w:val="0"/>
          <w:numId w:val="9"/>
        </w:numPr>
        <w:spacing w:before="100" w:beforeAutospacing="1" w:after="100" w:afterAutospacing="1" w:line="240" w:lineRule="auto"/>
        <w:rPr>
          <w:rFonts w:eastAsia="Times New Roman" w:cstheme="minorHAnsi"/>
          <w:sz w:val="24"/>
          <w:szCs w:val="24"/>
          <w:lang w:eastAsia="en-IN"/>
        </w:rPr>
      </w:pPr>
      <w:r w:rsidRPr="00FA00C8">
        <w:rPr>
          <w:rFonts w:ascii="Cambria" w:eastAsia="Times New Roman" w:hAnsi="Cambria" w:cstheme="minorHAnsi"/>
          <w:sz w:val="24"/>
          <w:szCs w:val="24"/>
          <w:lang w:eastAsia="en-IN"/>
        </w:rPr>
        <w:t>Impingement Protection: Not required based on flow conditions</w:t>
      </w:r>
      <w:r w:rsidRPr="00FA00C8">
        <w:rPr>
          <w:rFonts w:eastAsia="Times New Roman" w:cstheme="minorHAnsi"/>
          <w:sz w:val="24"/>
          <w:szCs w:val="24"/>
          <w:lang w:eastAsia="en-IN"/>
        </w:rPr>
        <w:t>.</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31"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t>6. Recommendations</w:t>
      </w:r>
    </w:p>
    <w:p w:rsidR="00FA00C8" w:rsidRPr="00FA00C8" w:rsidRDefault="00FA00C8" w:rsidP="00FA00C8">
      <w:pPr>
        <w:numPr>
          <w:ilvl w:val="0"/>
          <w:numId w:val="10"/>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Monitoring:</w:t>
      </w:r>
      <w:r w:rsidRPr="00FA00C8">
        <w:rPr>
          <w:rFonts w:ascii="Cambria" w:eastAsia="Times New Roman" w:hAnsi="Cambria" w:cstheme="minorHAnsi"/>
          <w:sz w:val="24"/>
          <w:szCs w:val="24"/>
          <w:lang w:eastAsia="en-IN"/>
        </w:rPr>
        <w:t xml:space="preserve"> Periodic inspection for fouling and adherence to cleaning protocols.</w:t>
      </w:r>
    </w:p>
    <w:p w:rsidR="00FA00C8" w:rsidRPr="00FA00C8" w:rsidRDefault="00FA00C8" w:rsidP="00FA00C8">
      <w:pPr>
        <w:numPr>
          <w:ilvl w:val="0"/>
          <w:numId w:val="10"/>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Performance Optimization:</w:t>
      </w:r>
      <w:r w:rsidRPr="00FA00C8">
        <w:rPr>
          <w:rFonts w:ascii="Cambria" w:eastAsia="Times New Roman" w:hAnsi="Cambria" w:cstheme="minorHAnsi"/>
          <w:sz w:val="24"/>
          <w:szCs w:val="24"/>
          <w:lang w:eastAsia="en-IN"/>
        </w:rPr>
        <w:t xml:space="preserve"> Evaluate fluid velocities to avoid localized overheating or erosion.</w:t>
      </w:r>
    </w:p>
    <w:p w:rsidR="00FA00C8" w:rsidRPr="00FA00C8" w:rsidRDefault="00FA00C8" w:rsidP="00FA00C8">
      <w:pPr>
        <w:numPr>
          <w:ilvl w:val="0"/>
          <w:numId w:val="10"/>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Future Upgrades:</w:t>
      </w:r>
      <w:r w:rsidRPr="00FA00C8">
        <w:rPr>
          <w:rFonts w:ascii="Cambria" w:eastAsia="Times New Roman" w:hAnsi="Cambria" w:cstheme="minorHAnsi"/>
          <w:sz w:val="24"/>
          <w:szCs w:val="24"/>
          <w:lang w:eastAsia="en-IN"/>
        </w:rPr>
        <w:t xml:space="preserve"> Consider advanced materials for enhanced corrosion resistance in harsh environments.</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32" style="width:0;height:1.5pt" o:hralign="center" o:hrstd="t" o:hr="t" fillcolor="#a0a0a0" stroked="f"/>
        </w:pict>
      </w:r>
    </w:p>
    <w:p w:rsidR="00FA00C8" w:rsidRPr="00FA00C8" w:rsidRDefault="00FA00C8" w:rsidP="00FA00C8">
      <w:pPr>
        <w:spacing w:before="100" w:beforeAutospacing="1" w:after="100" w:afterAutospacing="1" w:line="240" w:lineRule="auto"/>
        <w:rPr>
          <w:rFonts w:eastAsia="Times New Roman" w:cstheme="minorHAnsi"/>
          <w:color w:val="1F4E79" w:themeColor="accent1" w:themeShade="80"/>
          <w:sz w:val="24"/>
          <w:szCs w:val="24"/>
          <w:lang w:eastAsia="en-IN"/>
        </w:rPr>
      </w:pPr>
      <w:r w:rsidRPr="00FA00C8">
        <w:rPr>
          <w:rFonts w:eastAsia="Times New Roman" w:cstheme="minorHAnsi"/>
          <w:b/>
          <w:bCs/>
          <w:color w:val="1F4E79" w:themeColor="accent1" w:themeShade="80"/>
          <w:sz w:val="24"/>
          <w:szCs w:val="24"/>
          <w:lang w:eastAsia="en-IN"/>
        </w:rPr>
        <w:t>7. Conclusion</w:t>
      </w:r>
    </w:p>
    <w:p w:rsidR="00FA00C8" w:rsidRPr="00FA00C8" w:rsidRDefault="00FA00C8" w:rsidP="00FA00C8">
      <w:p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Both heat exchangers (1-HE007 and 1-HE008) meet the required design and operational standards. They demonstrate efficient performance with adequate safety margins, ensuring reliability for ONA dehydration processes. Recommendations provided aim to enhance long-term operational efficiency.</w:t>
      </w:r>
    </w:p>
    <w:p w:rsidR="00FA00C8" w:rsidRPr="00FA00C8" w:rsidRDefault="00FA00C8" w:rsidP="00FA00C8">
      <w:pPr>
        <w:spacing w:after="0" w:line="240" w:lineRule="auto"/>
        <w:rPr>
          <w:rFonts w:eastAsia="Times New Roman" w:cstheme="minorHAnsi"/>
          <w:sz w:val="24"/>
          <w:szCs w:val="24"/>
          <w:lang w:eastAsia="en-IN"/>
        </w:rPr>
      </w:pPr>
      <w:r w:rsidRPr="00FA00C8">
        <w:rPr>
          <w:rFonts w:eastAsia="Times New Roman" w:cstheme="minorHAnsi"/>
          <w:sz w:val="24"/>
          <w:szCs w:val="24"/>
          <w:lang w:eastAsia="en-IN"/>
        </w:rPr>
        <w:pict>
          <v:rect id="_x0000_i1033" style="width:0;height:1.5pt" o:hralign="center" o:hrstd="t" o:hr="t" fillcolor="#a0a0a0" stroked="f"/>
        </w:pict>
      </w:r>
    </w:p>
    <w:p w:rsidR="006D4355" w:rsidRDefault="006D4355" w:rsidP="00FA00C8">
      <w:pPr>
        <w:spacing w:before="100" w:beforeAutospacing="1" w:after="100" w:afterAutospacing="1" w:line="240" w:lineRule="auto"/>
        <w:rPr>
          <w:rFonts w:eastAsia="Times New Roman" w:cstheme="minorHAnsi"/>
          <w:b/>
          <w:color w:val="1F4E79" w:themeColor="accent1" w:themeShade="80"/>
          <w:sz w:val="24"/>
          <w:szCs w:val="24"/>
          <w:lang w:eastAsia="en-IN"/>
        </w:rPr>
      </w:pPr>
    </w:p>
    <w:p w:rsidR="00FA00C8" w:rsidRPr="00FA00C8" w:rsidRDefault="006D4355" w:rsidP="00FA00C8">
      <w:pPr>
        <w:spacing w:before="100" w:beforeAutospacing="1" w:after="100" w:afterAutospacing="1" w:line="240" w:lineRule="auto"/>
        <w:rPr>
          <w:rFonts w:eastAsia="Times New Roman" w:cstheme="minorHAnsi"/>
          <w:b/>
          <w:color w:val="1F4E79" w:themeColor="accent1" w:themeShade="80"/>
          <w:sz w:val="24"/>
          <w:szCs w:val="24"/>
          <w:lang w:eastAsia="en-IN"/>
        </w:rPr>
      </w:pPr>
      <w:r>
        <w:rPr>
          <w:rFonts w:eastAsia="Times New Roman" w:cstheme="minorHAnsi"/>
          <w:b/>
          <w:color w:val="1F4E79" w:themeColor="accent1" w:themeShade="80"/>
          <w:sz w:val="24"/>
          <w:szCs w:val="24"/>
          <w:lang w:eastAsia="en-IN"/>
        </w:rPr>
        <w:t>8</w:t>
      </w:r>
      <w:r w:rsidR="00FA00C8" w:rsidRPr="00FA00C8">
        <w:rPr>
          <w:rFonts w:eastAsia="Times New Roman" w:cstheme="minorHAnsi"/>
          <w:b/>
          <w:color w:val="1F4E79" w:themeColor="accent1" w:themeShade="80"/>
          <w:sz w:val="24"/>
          <w:szCs w:val="24"/>
          <w:lang w:eastAsia="en-IN"/>
        </w:rPr>
        <w:t xml:space="preserve">. </w:t>
      </w:r>
      <w:r w:rsidR="00FA00C8">
        <w:rPr>
          <w:rFonts w:eastAsia="Times New Roman" w:cstheme="minorHAnsi"/>
          <w:b/>
          <w:color w:val="1F4E79" w:themeColor="accent1" w:themeShade="80"/>
          <w:sz w:val="24"/>
          <w:szCs w:val="24"/>
          <w:lang w:eastAsia="en-IN"/>
        </w:rPr>
        <w:t xml:space="preserve">Setting Plan </w:t>
      </w:r>
      <w:r w:rsidR="00FA00C8" w:rsidRPr="00FA00C8">
        <w:rPr>
          <w:rFonts w:eastAsia="Times New Roman" w:cstheme="minorHAnsi"/>
          <w:b/>
          <w:color w:val="1F4E79" w:themeColor="accent1" w:themeShade="80"/>
          <w:sz w:val="24"/>
          <w:szCs w:val="24"/>
          <w:lang w:eastAsia="en-IN"/>
        </w:rPr>
        <w:t xml:space="preserve">Design </w:t>
      </w:r>
      <w:r w:rsidR="00FA00C8">
        <w:rPr>
          <w:rFonts w:eastAsia="Times New Roman" w:cstheme="minorHAnsi"/>
          <w:b/>
          <w:color w:val="1F4E79" w:themeColor="accent1" w:themeShade="80"/>
          <w:sz w:val="24"/>
          <w:szCs w:val="24"/>
          <w:lang w:eastAsia="en-IN"/>
        </w:rPr>
        <w:t xml:space="preserve">and </w:t>
      </w:r>
      <w:proofErr w:type="spellStart"/>
      <w:r w:rsidR="00FA00C8">
        <w:rPr>
          <w:rFonts w:eastAsia="Times New Roman" w:cstheme="minorHAnsi"/>
          <w:b/>
          <w:color w:val="1F4E79" w:themeColor="accent1" w:themeShade="80"/>
          <w:sz w:val="24"/>
          <w:szCs w:val="24"/>
          <w:lang w:eastAsia="en-IN"/>
        </w:rPr>
        <w:t>Tubesheet</w:t>
      </w:r>
      <w:proofErr w:type="spellEnd"/>
      <w:r w:rsidR="00FA00C8">
        <w:rPr>
          <w:rFonts w:eastAsia="Times New Roman" w:cstheme="minorHAnsi"/>
          <w:b/>
          <w:color w:val="1F4E79" w:themeColor="accent1" w:themeShade="80"/>
          <w:sz w:val="24"/>
          <w:szCs w:val="24"/>
          <w:lang w:eastAsia="en-IN"/>
        </w:rPr>
        <w:t xml:space="preserve"> Layout: HE-007 </w:t>
      </w:r>
      <w:r w:rsidR="00FA00C8">
        <w:rPr>
          <w:rFonts w:eastAsia="Times New Roman" w:cstheme="minorHAnsi"/>
          <w:b/>
          <w:color w:val="1F4E79" w:themeColor="accent1" w:themeShade="80"/>
          <w:sz w:val="24"/>
          <w:szCs w:val="24"/>
          <w:lang w:eastAsia="en-IN"/>
        </w:rPr>
        <w:br/>
      </w:r>
    </w:p>
    <w:p w:rsidR="002D2024" w:rsidRDefault="00FA00C8" w:rsidP="00FA00C8">
      <w:pPr>
        <w:jc w:val="center"/>
        <w:rPr>
          <w:rFonts w:cstheme="minorHAnsi"/>
        </w:rPr>
      </w:pPr>
      <w:r w:rsidRPr="00FA00C8">
        <w:rPr>
          <w:rFonts w:cstheme="minorHAnsi"/>
        </w:rPr>
        <w:lastRenderedPageBreak/>
        <w:drawing>
          <wp:inline distT="0" distB="0" distL="0" distR="0" wp14:anchorId="6CCD426B" wp14:editId="03406910">
            <wp:extent cx="5232263" cy="392864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01553" cy="3980674"/>
                    </a:xfrm>
                    <a:prstGeom prst="rect">
                      <a:avLst/>
                    </a:prstGeom>
                  </pic:spPr>
                </pic:pic>
              </a:graphicData>
            </a:graphic>
          </wp:inline>
        </w:drawing>
      </w:r>
    </w:p>
    <w:p w:rsidR="00FA00C8" w:rsidRDefault="00FA00C8">
      <w:pPr>
        <w:rPr>
          <w:rFonts w:cstheme="minorHAnsi"/>
        </w:rPr>
      </w:pPr>
    </w:p>
    <w:p w:rsidR="003B6793" w:rsidRDefault="00FA00C8" w:rsidP="003B6793">
      <w:pPr>
        <w:jc w:val="center"/>
        <w:rPr>
          <w:rFonts w:cstheme="minorHAnsi"/>
        </w:rPr>
      </w:pPr>
      <w:r>
        <w:rPr>
          <w:rFonts w:cstheme="minorHAnsi"/>
        </w:rPr>
        <w:t xml:space="preserve">  </w:t>
      </w:r>
      <w:r w:rsidRPr="00FA00C8">
        <w:rPr>
          <w:rFonts w:cstheme="minorHAnsi"/>
        </w:rPr>
        <w:drawing>
          <wp:inline distT="0" distB="0" distL="0" distR="0" wp14:anchorId="1E24B9DA" wp14:editId="43E14256">
            <wp:extent cx="5232691" cy="39700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42105" cy="4053032"/>
                    </a:xfrm>
                    <a:prstGeom prst="rect">
                      <a:avLst/>
                    </a:prstGeom>
                  </pic:spPr>
                </pic:pic>
              </a:graphicData>
            </a:graphic>
          </wp:inline>
        </w:drawing>
      </w:r>
    </w:p>
    <w:p w:rsidR="00FA00C8" w:rsidRDefault="00594BA4">
      <w:pPr>
        <w:rPr>
          <w:rFonts w:cstheme="minorHAnsi"/>
        </w:rPr>
      </w:pPr>
      <w:r>
        <w:rPr>
          <w:rFonts w:eastAsia="Times New Roman" w:cstheme="minorHAnsi"/>
          <w:b/>
          <w:color w:val="1F4E79" w:themeColor="accent1" w:themeShade="80"/>
          <w:sz w:val="24"/>
          <w:szCs w:val="24"/>
          <w:lang w:eastAsia="en-IN"/>
        </w:rPr>
        <w:t>9</w:t>
      </w:r>
      <w:r w:rsidR="00FA00C8" w:rsidRPr="00FA00C8">
        <w:rPr>
          <w:rFonts w:eastAsia="Times New Roman" w:cstheme="minorHAnsi"/>
          <w:b/>
          <w:color w:val="1F4E79" w:themeColor="accent1" w:themeShade="80"/>
          <w:sz w:val="24"/>
          <w:szCs w:val="24"/>
          <w:lang w:eastAsia="en-IN"/>
        </w:rPr>
        <w:t xml:space="preserve">. </w:t>
      </w:r>
      <w:r w:rsidR="00FA00C8">
        <w:rPr>
          <w:rFonts w:eastAsia="Times New Roman" w:cstheme="minorHAnsi"/>
          <w:b/>
          <w:color w:val="1F4E79" w:themeColor="accent1" w:themeShade="80"/>
          <w:sz w:val="24"/>
          <w:szCs w:val="24"/>
          <w:lang w:eastAsia="en-IN"/>
        </w:rPr>
        <w:t xml:space="preserve">Setting Plan </w:t>
      </w:r>
      <w:r w:rsidR="00FA00C8" w:rsidRPr="00FA00C8">
        <w:rPr>
          <w:rFonts w:eastAsia="Times New Roman" w:cstheme="minorHAnsi"/>
          <w:b/>
          <w:color w:val="1F4E79" w:themeColor="accent1" w:themeShade="80"/>
          <w:sz w:val="24"/>
          <w:szCs w:val="24"/>
          <w:lang w:eastAsia="en-IN"/>
        </w:rPr>
        <w:t xml:space="preserve">Design </w:t>
      </w:r>
      <w:r w:rsidR="006D4355">
        <w:rPr>
          <w:rFonts w:eastAsia="Times New Roman" w:cstheme="minorHAnsi"/>
          <w:b/>
          <w:color w:val="1F4E79" w:themeColor="accent1" w:themeShade="80"/>
          <w:sz w:val="24"/>
          <w:szCs w:val="24"/>
          <w:lang w:eastAsia="en-IN"/>
        </w:rPr>
        <w:t xml:space="preserve">and </w:t>
      </w:r>
      <w:proofErr w:type="spellStart"/>
      <w:r w:rsidR="006D4355">
        <w:rPr>
          <w:rFonts w:eastAsia="Times New Roman" w:cstheme="minorHAnsi"/>
          <w:b/>
          <w:color w:val="1F4E79" w:themeColor="accent1" w:themeShade="80"/>
          <w:sz w:val="24"/>
          <w:szCs w:val="24"/>
          <w:lang w:eastAsia="en-IN"/>
        </w:rPr>
        <w:t>Tubesheet</w:t>
      </w:r>
      <w:proofErr w:type="spellEnd"/>
      <w:r w:rsidR="006D4355">
        <w:rPr>
          <w:rFonts w:eastAsia="Times New Roman" w:cstheme="minorHAnsi"/>
          <w:b/>
          <w:color w:val="1F4E79" w:themeColor="accent1" w:themeShade="80"/>
          <w:sz w:val="24"/>
          <w:szCs w:val="24"/>
          <w:lang w:eastAsia="en-IN"/>
        </w:rPr>
        <w:t xml:space="preserve"> Layout: </w:t>
      </w:r>
      <w:r w:rsidR="006D4355">
        <w:rPr>
          <w:rFonts w:eastAsia="Times New Roman" w:cstheme="minorHAnsi"/>
          <w:b/>
          <w:color w:val="1F4E79" w:themeColor="accent1" w:themeShade="80"/>
          <w:sz w:val="24"/>
          <w:szCs w:val="24"/>
          <w:lang w:eastAsia="en-IN"/>
        </w:rPr>
        <w:t>HE-008</w:t>
      </w:r>
      <w:r w:rsidR="00FA00C8">
        <w:rPr>
          <w:rFonts w:eastAsia="Times New Roman" w:cstheme="minorHAnsi"/>
          <w:b/>
          <w:color w:val="1F4E79" w:themeColor="accent1" w:themeShade="80"/>
          <w:sz w:val="24"/>
          <w:szCs w:val="24"/>
          <w:lang w:eastAsia="en-IN"/>
        </w:rPr>
        <w:br/>
      </w:r>
    </w:p>
    <w:p w:rsidR="006D4355" w:rsidRDefault="003B6793" w:rsidP="003B6793">
      <w:pPr>
        <w:jc w:val="center"/>
        <w:rPr>
          <w:rFonts w:cstheme="minorHAnsi"/>
        </w:rPr>
      </w:pPr>
      <w:r w:rsidRPr="003B6793">
        <w:rPr>
          <w:rFonts w:cstheme="minorHAnsi"/>
        </w:rPr>
        <w:lastRenderedPageBreak/>
        <w:drawing>
          <wp:inline distT="0" distB="0" distL="0" distR="0" wp14:anchorId="5DB2E1E5" wp14:editId="546C2EB0">
            <wp:extent cx="5303834" cy="400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6479" cy="4017581"/>
                    </a:xfrm>
                    <a:prstGeom prst="rect">
                      <a:avLst/>
                    </a:prstGeom>
                  </pic:spPr>
                </pic:pic>
              </a:graphicData>
            </a:graphic>
          </wp:inline>
        </w:drawing>
      </w:r>
    </w:p>
    <w:p w:rsidR="006D4355" w:rsidRDefault="006D4355">
      <w:pPr>
        <w:rPr>
          <w:rFonts w:cstheme="minorHAnsi"/>
        </w:rPr>
      </w:pPr>
    </w:p>
    <w:p w:rsidR="006D4355" w:rsidRDefault="003B6793">
      <w:pPr>
        <w:rPr>
          <w:rFonts w:cstheme="minorHAnsi"/>
        </w:rPr>
      </w:pPr>
      <w:r>
        <w:rPr>
          <w:rFonts w:cstheme="minorHAnsi"/>
        </w:rPr>
        <w:t xml:space="preserve">        </w:t>
      </w:r>
      <w:r w:rsidRPr="003B6793">
        <w:rPr>
          <w:rFonts w:cstheme="minorHAnsi"/>
        </w:rPr>
        <w:drawing>
          <wp:inline distT="0" distB="0" distL="0" distR="0" wp14:anchorId="2EE5CAFC" wp14:editId="75114393">
            <wp:extent cx="5410200" cy="390390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0650" cy="3918659"/>
                    </a:xfrm>
                    <a:prstGeom prst="rect">
                      <a:avLst/>
                    </a:prstGeom>
                  </pic:spPr>
                </pic:pic>
              </a:graphicData>
            </a:graphic>
          </wp:inline>
        </w:drawing>
      </w:r>
    </w:p>
    <w:p w:rsidR="00E672D3" w:rsidRDefault="00E672D3" w:rsidP="006D4355">
      <w:pPr>
        <w:spacing w:before="100" w:beforeAutospacing="1" w:after="100" w:afterAutospacing="1" w:line="240" w:lineRule="auto"/>
        <w:rPr>
          <w:rFonts w:eastAsia="Times New Roman" w:cstheme="minorHAnsi"/>
          <w:b/>
          <w:bCs/>
          <w:color w:val="1F4E79" w:themeColor="accent1" w:themeShade="80"/>
          <w:sz w:val="24"/>
          <w:szCs w:val="24"/>
          <w:lang w:eastAsia="en-IN"/>
        </w:rPr>
      </w:pPr>
    </w:p>
    <w:p w:rsidR="006D4355" w:rsidRPr="00FA00C8" w:rsidRDefault="00594BA4" w:rsidP="006D4355">
      <w:pPr>
        <w:spacing w:before="100" w:beforeAutospacing="1" w:after="100" w:afterAutospacing="1" w:line="240" w:lineRule="auto"/>
        <w:rPr>
          <w:rFonts w:eastAsia="Times New Roman" w:cstheme="minorHAnsi"/>
          <w:color w:val="1F4E79" w:themeColor="accent1" w:themeShade="80"/>
          <w:sz w:val="24"/>
          <w:szCs w:val="24"/>
          <w:lang w:eastAsia="en-IN"/>
        </w:rPr>
      </w:pPr>
      <w:r>
        <w:rPr>
          <w:rFonts w:eastAsia="Times New Roman" w:cstheme="minorHAnsi"/>
          <w:b/>
          <w:bCs/>
          <w:color w:val="1F4E79" w:themeColor="accent1" w:themeShade="80"/>
          <w:sz w:val="24"/>
          <w:szCs w:val="24"/>
          <w:lang w:eastAsia="en-IN"/>
        </w:rPr>
        <w:lastRenderedPageBreak/>
        <w:t>10</w:t>
      </w:r>
      <w:r w:rsidR="006D4355" w:rsidRPr="00FA00C8">
        <w:rPr>
          <w:rFonts w:eastAsia="Times New Roman" w:cstheme="minorHAnsi"/>
          <w:b/>
          <w:bCs/>
          <w:color w:val="1F4E79" w:themeColor="accent1" w:themeShade="80"/>
          <w:sz w:val="24"/>
          <w:szCs w:val="24"/>
          <w:lang w:eastAsia="en-IN"/>
        </w:rPr>
        <w:t>. References</w:t>
      </w:r>
      <w:bookmarkStart w:id="0" w:name="_GoBack"/>
      <w:bookmarkEnd w:id="0"/>
    </w:p>
    <w:p w:rsidR="006D4355" w:rsidRPr="00FA00C8" w:rsidRDefault="006D4355" w:rsidP="006D4355">
      <w:pPr>
        <w:numPr>
          <w:ilvl w:val="0"/>
          <w:numId w:val="1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TEMA Standards for Shell and Tube Heat Exchangers.</w:t>
      </w:r>
    </w:p>
    <w:p w:rsidR="006D4355" w:rsidRPr="00FA00C8" w:rsidRDefault="006D4355" w:rsidP="006D4355">
      <w:pPr>
        <w:numPr>
          <w:ilvl w:val="0"/>
          <w:numId w:val="1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ASME Code Section VIII Division 1.</w:t>
      </w:r>
    </w:p>
    <w:p w:rsidR="006D4355" w:rsidRPr="00FA00C8" w:rsidRDefault="006D4355" w:rsidP="006D4355">
      <w:pPr>
        <w:numPr>
          <w:ilvl w:val="0"/>
          <w:numId w:val="1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Aspen Exchanger Design and Rating Software Documentation.</w:t>
      </w:r>
    </w:p>
    <w:p w:rsidR="006D4355" w:rsidRPr="00FA00C8" w:rsidRDefault="006D4355" w:rsidP="006D4355">
      <w:pPr>
        <w:numPr>
          <w:ilvl w:val="0"/>
          <w:numId w:val="11"/>
        </w:numPr>
        <w:spacing w:before="100" w:beforeAutospacing="1" w:after="100" w:afterAutospacing="1" w:line="240" w:lineRule="auto"/>
        <w:rPr>
          <w:rFonts w:ascii="Cambria" w:eastAsia="Times New Roman" w:hAnsi="Cambria" w:cstheme="minorHAnsi"/>
          <w:sz w:val="24"/>
          <w:szCs w:val="24"/>
          <w:lang w:eastAsia="en-IN"/>
        </w:rPr>
      </w:pPr>
      <w:r w:rsidRPr="00FA00C8">
        <w:rPr>
          <w:rFonts w:ascii="Cambria" w:eastAsia="Times New Roman" w:hAnsi="Cambria" w:cstheme="minorHAnsi"/>
          <w:sz w:val="24"/>
          <w:szCs w:val="24"/>
          <w:lang w:eastAsia="en-IN"/>
        </w:rPr>
        <w:t>Process Data Sheets for 1-HE007 and 1-HE008.</w:t>
      </w:r>
    </w:p>
    <w:p w:rsidR="006D4355" w:rsidRPr="00FA00C8" w:rsidRDefault="006D4355" w:rsidP="006D4355">
      <w:pPr>
        <w:spacing w:after="0" w:line="240" w:lineRule="auto"/>
        <w:rPr>
          <w:rFonts w:eastAsia="Times New Roman" w:cstheme="minorHAnsi"/>
          <w:sz w:val="24"/>
          <w:szCs w:val="24"/>
          <w:lang w:eastAsia="en-IN"/>
        </w:rPr>
      </w:pPr>
      <w:r w:rsidRPr="00FA00C8">
        <w:rPr>
          <w:rFonts w:ascii="Cambria" w:eastAsia="Times New Roman" w:hAnsi="Cambria" w:cstheme="minorHAnsi"/>
          <w:sz w:val="24"/>
          <w:szCs w:val="24"/>
          <w:lang w:eastAsia="en-IN"/>
        </w:rPr>
        <w:pict>
          <v:rect id="_x0000_i1058" style="width:0;height:1.5pt" o:hralign="center" o:hrstd="t" o:hr="t" fillcolor="#a0a0a0" stroked="f"/>
        </w:pict>
      </w:r>
    </w:p>
    <w:p w:rsidR="006D4355" w:rsidRPr="00FA00C8" w:rsidRDefault="00594BA4" w:rsidP="006D4355">
      <w:pPr>
        <w:spacing w:before="100" w:beforeAutospacing="1" w:after="100" w:afterAutospacing="1" w:line="240" w:lineRule="auto"/>
        <w:rPr>
          <w:rFonts w:eastAsia="Times New Roman" w:cstheme="minorHAnsi"/>
          <w:color w:val="1F4E79" w:themeColor="accent1" w:themeShade="80"/>
          <w:sz w:val="24"/>
          <w:szCs w:val="24"/>
          <w:lang w:eastAsia="en-IN"/>
        </w:rPr>
      </w:pPr>
      <w:r>
        <w:rPr>
          <w:rFonts w:eastAsia="Times New Roman" w:cstheme="minorHAnsi"/>
          <w:b/>
          <w:bCs/>
          <w:color w:val="1F4E79" w:themeColor="accent1" w:themeShade="80"/>
          <w:sz w:val="24"/>
          <w:szCs w:val="24"/>
          <w:lang w:eastAsia="en-IN"/>
        </w:rPr>
        <w:t>11</w:t>
      </w:r>
      <w:r w:rsidR="006D4355" w:rsidRPr="00FA00C8">
        <w:rPr>
          <w:rFonts w:eastAsia="Times New Roman" w:cstheme="minorHAnsi"/>
          <w:b/>
          <w:bCs/>
          <w:color w:val="1F4E79" w:themeColor="accent1" w:themeShade="80"/>
          <w:sz w:val="24"/>
          <w:szCs w:val="24"/>
          <w:lang w:eastAsia="en-IN"/>
        </w:rPr>
        <w:t>. Appendices</w:t>
      </w:r>
    </w:p>
    <w:p w:rsidR="006D4355" w:rsidRPr="00FA00C8" w:rsidRDefault="006D4355" w:rsidP="006D4355">
      <w:pPr>
        <w:numPr>
          <w:ilvl w:val="0"/>
          <w:numId w:val="12"/>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Appendix A:</w:t>
      </w:r>
      <w:r w:rsidRPr="00FA00C8">
        <w:rPr>
          <w:rFonts w:ascii="Cambria" w:eastAsia="Times New Roman" w:hAnsi="Cambria" w:cstheme="minorHAnsi"/>
          <w:sz w:val="24"/>
          <w:szCs w:val="24"/>
          <w:lang w:eastAsia="en-IN"/>
        </w:rPr>
        <w:t xml:space="preserve"> Detailed Performance Data Tables.</w:t>
      </w:r>
    </w:p>
    <w:p w:rsidR="006D4355" w:rsidRPr="00FA00C8" w:rsidRDefault="006D4355" w:rsidP="006D4355">
      <w:pPr>
        <w:numPr>
          <w:ilvl w:val="0"/>
          <w:numId w:val="12"/>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Appendix B:</w:t>
      </w:r>
      <w:r w:rsidRPr="00FA00C8">
        <w:rPr>
          <w:rFonts w:ascii="Cambria" w:eastAsia="Times New Roman" w:hAnsi="Cambria" w:cstheme="minorHAnsi"/>
          <w:sz w:val="24"/>
          <w:szCs w:val="24"/>
          <w:lang w:eastAsia="en-IN"/>
        </w:rPr>
        <w:t xml:space="preserve"> Placeholder for Heat Exchanger Sketches.</w:t>
      </w:r>
    </w:p>
    <w:p w:rsidR="006D4355" w:rsidRPr="00434DE8" w:rsidRDefault="006D4355" w:rsidP="006D4355">
      <w:pPr>
        <w:numPr>
          <w:ilvl w:val="0"/>
          <w:numId w:val="12"/>
        </w:numPr>
        <w:spacing w:before="100" w:beforeAutospacing="1" w:after="100" w:afterAutospacing="1" w:line="240" w:lineRule="auto"/>
        <w:rPr>
          <w:rFonts w:ascii="Cambria" w:eastAsia="Times New Roman" w:hAnsi="Cambria" w:cstheme="minorHAnsi"/>
          <w:sz w:val="24"/>
          <w:szCs w:val="24"/>
          <w:lang w:eastAsia="en-IN"/>
        </w:rPr>
      </w:pPr>
      <w:r w:rsidRPr="00434DE8">
        <w:rPr>
          <w:rFonts w:ascii="Cambria" w:eastAsia="Times New Roman" w:hAnsi="Cambria" w:cstheme="minorHAnsi"/>
          <w:b/>
          <w:bCs/>
          <w:sz w:val="24"/>
          <w:szCs w:val="24"/>
          <w:lang w:eastAsia="en-IN"/>
        </w:rPr>
        <w:t>Appendix C:</w:t>
      </w:r>
      <w:r w:rsidRPr="00FA00C8">
        <w:rPr>
          <w:rFonts w:ascii="Cambria" w:eastAsia="Times New Roman" w:hAnsi="Cambria" w:cstheme="minorHAnsi"/>
          <w:sz w:val="24"/>
          <w:szCs w:val="24"/>
          <w:lang w:eastAsia="en-IN"/>
        </w:rPr>
        <w:t xml:space="preserve"> Additional Calculations.</w:t>
      </w:r>
    </w:p>
    <w:p w:rsidR="006D4355" w:rsidRPr="00FA00C8" w:rsidRDefault="006D4355">
      <w:pPr>
        <w:rPr>
          <w:rFonts w:cstheme="minorHAnsi"/>
        </w:rPr>
      </w:pPr>
    </w:p>
    <w:sectPr w:rsidR="006D4355" w:rsidRPr="00FA0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2ED6"/>
    <w:multiLevelType w:val="multilevel"/>
    <w:tmpl w:val="2D7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0463"/>
    <w:multiLevelType w:val="multilevel"/>
    <w:tmpl w:val="01D2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6874"/>
    <w:multiLevelType w:val="multilevel"/>
    <w:tmpl w:val="D77A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A7BB7"/>
    <w:multiLevelType w:val="multilevel"/>
    <w:tmpl w:val="F2AE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B63E1"/>
    <w:multiLevelType w:val="multilevel"/>
    <w:tmpl w:val="DEA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3418C"/>
    <w:multiLevelType w:val="multilevel"/>
    <w:tmpl w:val="9EE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04637"/>
    <w:multiLevelType w:val="multilevel"/>
    <w:tmpl w:val="FDE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2C13"/>
    <w:multiLevelType w:val="multilevel"/>
    <w:tmpl w:val="0F3E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62E19"/>
    <w:multiLevelType w:val="multilevel"/>
    <w:tmpl w:val="6B1C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A4F49"/>
    <w:multiLevelType w:val="multilevel"/>
    <w:tmpl w:val="C148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B33F0"/>
    <w:multiLevelType w:val="multilevel"/>
    <w:tmpl w:val="7682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213963"/>
    <w:multiLevelType w:val="multilevel"/>
    <w:tmpl w:val="828C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5"/>
  </w:num>
  <w:num w:numId="5">
    <w:abstractNumId w:val="4"/>
  </w:num>
  <w:num w:numId="6">
    <w:abstractNumId w:val="8"/>
  </w:num>
  <w:num w:numId="7">
    <w:abstractNumId w:val="6"/>
  </w:num>
  <w:num w:numId="8">
    <w:abstractNumId w:val="9"/>
  </w:num>
  <w:num w:numId="9">
    <w:abstractNumId w:val="1"/>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C8"/>
    <w:rsid w:val="001D7CC4"/>
    <w:rsid w:val="003B6793"/>
    <w:rsid w:val="00434DE8"/>
    <w:rsid w:val="00594BA4"/>
    <w:rsid w:val="006236B6"/>
    <w:rsid w:val="006D4355"/>
    <w:rsid w:val="007D22BE"/>
    <w:rsid w:val="007D4D02"/>
    <w:rsid w:val="00801D94"/>
    <w:rsid w:val="00E672D3"/>
    <w:rsid w:val="00FA00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97F9"/>
  <w15:chartTrackingRefBased/>
  <w15:docId w15:val="{F4D4F9AB-41AA-4A90-9932-9155CD7B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0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A0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385">
      <w:bodyDiv w:val="1"/>
      <w:marLeft w:val="0"/>
      <w:marRight w:val="0"/>
      <w:marTop w:val="0"/>
      <w:marBottom w:val="0"/>
      <w:divBdr>
        <w:top w:val="none" w:sz="0" w:space="0" w:color="auto"/>
        <w:left w:val="none" w:sz="0" w:space="0" w:color="auto"/>
        <w:bottom w:val="none" w:sz="0" w:space="0" w:color="auto"/>
        <w:right w:val="none" w:sz="0" w:space="0" w:color="auto"/>
      </w:divBdr>
      <w:divsChild>
        <w:div w:id="1940865979">
          <w:marLeft w:val="0"/>
          <w:marRight w:val="0"/>
          <w:marTop w:val="0"/>
          <w:marBottom w:val="0"/>
          <w:divBdr>
            <w:top w:val="none" w:sz="0" w:space="0" w:color="auto"/>
            <w:left w:val="none" w:sz="0" w:space="0" w:color="auto"/>
            <w:bottom w:val="none" w:sz="0" w:space="0" w:color="auto"/>
            <w:right w:val="none" w:sz="0" w:space="0" w:color="auto"/>
          </w:divBdr>
        </w:div>
        <w:div w:id="93017154">
          <w:marLeft w:val="0"/>
          <w:marRight w:val="0"/>
          <w:marTop w:val="0"/>
          <w:marBottom w:val="0"/>
          <w:divBdr>
            <w:top w:val="none" w:sz="0" w:space="0" w:color="auto"/>
            <w:left w:val="none" w:sz="0" w:space="0" w:color="auto"/>
            <w:bottom w:val="none" w:sz="0" w:space="0" w:color="auto"/>
            <w:right w:val="none" w:sz="0" w:space="0" w:color="auto"/>
          </w:divBdr>
        </w:div>
        <w:div w:id="1870337154">
          <w:marLeft w:val="0"/>
          <w:marRight w:val="0"/>
          <w:marTop w:val="0"/>
          <w:marBottom w:val="0"/>
          <w:divBdr>
            <w:top w:val="none" w:sz="0" w:space="0" w:color="auto"/>
            <w:left w:val="none" w:sz="0" w:space="0" w:color="auto"/>
            <w:bottom w:val="none" w:sz="0" w:space="0" w:color="auto"/>
            <w:right w:val="none" w:sz="0" w:space="0" w:color="auto"/>
          </w:divBdr>
        </w:div>
        <w:div w:id="1480069643">
          <w:marLeft w:val="0"/>
          <w:marRight w:val="0"/>
          <w:marTop w:val="0"/>
          <w:marBottom w:val="0"/>
          <w:divBdr>
            <w:top w:val="none" w:sz="0" w:space="0" w:color="auto"/>
            <w:left w:val="none" w:sz="0" w:space="0" w:color="auto"/>
            <w:bottom w:val="none" w:sz="0" w:space="0" w:color="auto"/>
            <w:right w:val="none" w:sz="0" w:space="0" w:color="auto"/>
          </w:divBdr>
        </w:div>
        <w:div w:id="116459563">
          <w:marLeft w:val="0"/>
          <w:marRight w:val="0"/>
          <w:marTop w:val="0"/>
          <w:marBottom w:val="0"/>
          <w:divBdr>
            <w:top w:val="none" w:sz="0" w:space="0" w:color="auto"/>
            <w:left w:val="none" w:sz="0" w:space="0" w:color="auto"/>
            <w:bottom w:val="none" w:sz="0" w:space="0" w:color="auto"/>
            <w:right w:val="none" w:sz="0" w:space="0" w:color="auto"/>
          </w:divBdr>
        </w:div>
        <w:div w:id="2133287194">
          <w:marLeft w:val="0"/>
          <w:marRight w:val="0"/>
          <w:marTop w:val="0"/>
          <w:marBottom w:val="0"/>
          <w:divBdr>
            <w:top w:val="none" w:sz="0" w:space="0" w:color="auto"/>
            <w:left w:val="none" w:sz="0" w:space="0" w:color="auto"/>
            <w:bottom w:val="none" w:sz="0" w:space="0" w:color="auto"/>
            <w:right w:val="none" w:sz="0" w:space="0" w:color="auto"/>
          </w:divBdr>
        </w:div>
        <w:div w:id="426737633">
          <w:marLeft w:val="0"/>
          <w:marRight w:val="0"/>
          <w:marTop w:val="0"/>
          <w:marBottom w:val="0"/>
          <w:divBdr>
            <w:top w:val="none" w:sz="0" w:space="0" w:color="auto"/>
            <w:left w:val="none" w:sz="0" w:space="0" w:color="auto"/>
            <w:bottom w:val="none" w:sz="0" w:space="0" w:color="auto"/>
            <w:right w:val="none" w:sz="0" w:space="0" w:color="auto"/>
          </w:divBdr>
        </w:div>
        <w:div w:id="111439834">
          <w:marLeft w:val="0"/>
          <w:marRight w:val="0"/>
          <w:marTop w:val="0"/>
          <w:marBottom w:val="0"/>
          <w:divBdr>
            <w:top w:val="none" w:sz="0" w:space="0" w:color="auto"/>
            <w:left w:val="none" w:sz="0" w:space="0" w:color="auto"/>
            <w:bottom w:val="none" w:sz="0" w:space="0" w:color="auto"/>
            <w:right w:val="none" w:sz="0" w:space="0" w:color="auto"/>
          </w:divBdr>
        </w:div>
        <w:div w:id="504051843">
          <w:marLeft w:val="0"/>
          <w:marRight w:val="0"/>
          <w:marTop w:val="0"/>
          <w:marBottom w:val="0"/>
          <w:divBdr>
            <w:top w:val="none" w:sz="0" w:space="0" w:color="auto"/>
            <w:left w:val="none" w:sz="0" w:space="0" w:color="auto"/>
            <w:bottom w:val="none" w:sz="0" w:space="0" w:color="auto"/>
            <w:right w:val="none" w:sz="0" w:space="0" w:color="auto"/>
          </w:divBdr>
        </w:div>
        <w:div w:id="1338775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Fataniya</dc:creator>
  <cp:keywords/>
  <dc:description/>
  <cp:lastModifiedBy>Jatin Fataniya</cp:lastModifiedBy>
  <cp:revision>12</cp:revision>
  <dcterms:created xsi:type="dcterms:W3CDTF">2024-12-12T09:09:00Z</dcterms:created>
  <dcterms:modified xsi:type="dcterms:W3CDTF">2024-12-12T09:22:00Z</dcterms:modified>
</cp:coreProperties>
</file>